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8E81" w14:textId="77777777" w:rsidR="00C31515" w:rsidRPr="00C31515" w:rsidRDefault="004B353C" w:rsidP="00C31515">
      <w:pPr>
        <w:pStyle w:val="Ingenafstand"/>
        <w:spacing w:line="360" w:lineRule="auto"/>
        <w:rPr>
          <w:rFonts w:ascii="Verdana" w:hAnsi="Verdana"/>
          <w:b/>
          <w:bCs/>
          <w:sz w:val="17"/>
          <w:szCs w:val="17"/>
          <w:lang w:val="en-GB"/>
        </w:rPr>
      </w:pPr>
      <w:r w:rsidRPr="00C31515">
        <w:rPr>
          <w:rFonts w:ascii="Verdana" w:hAnsi="Verdana"/>
          <w:b/>
          <w:bCs/>
          <w:sz w:val="17"/>
          <w:szCs w:val="17"/>
          <w:lang w:val="en-GB"/>
        </w:rPr>
        <w:t>NO CONSIDERATION OF ADVERSE IMPACTS OF INVESTMENT DECISIONS ON SUSTAINABILITY FACTORS</w:t>
      </w:r>
    </w:p>
    <w:p w14:paraId="79A08E82" w14:textId="77777777" w:rsidR="00C31515" w:rsidRDefault="00C31515" w:rsidP="00C31515">
      <w:pPr>
        <w:pStyle w:val="Ingenafstand"/>
        <w:spacing w:line="360" w:lineRule="auto"/>
        <w:rPr>
          <w:rFonts w:ascii="Verdana" w:hAnsi="Verdana"/>
          <w:sz w:val="17"/>
          <w:szCs w:val="17"/>
          <w:lang w:val="en-GB"/>
        </w:rPr>
      </w:pPr>
    </w:p>
    <w:p w14:paraId="79A08E83" w14:textId="2F64897B" w:rsidR="00C31515" w:rsidRPr="00EA0302" w:rsidRDefault="004B353C" w:rsidP="00C31515">
      <w:pPr>
        <w:spacing w:line="360" w:lineRule="auto"/>
        <w:rPr>
          <w:rFonts w:ascii="Verdana" w:hAnsi="Verdana"/>
          <w:sz w:val="17"/>
          <w:szCs w:val="17"/>
        </w:rPr>
      </w:pPr>
      <w:r w:rsidRPr="00EA0302">
        <w:rPr>
          <w:rFonts w:ascii="Verdana" w:hAnsi="Verdana"/>
          <w:sz w:val="17"/>
          <w:szCs w:val="17"/>
        </w:rPr>
        <w:t>Publication version:</w:t>
      </w:r>
      <w:r>
        <w:rPr>
          <w:rFonts w:ascii="Verdana" w:hAnsi="Verdana"/>
          <w:sz w:val="17"/>
          <w:szCs w:val="17"/>
        </w:rPr>
        <w:tab/>
      </w:r>
      <w:r w:rsidRPr="00EA0302">
        <w:rPr>
          <w:rFonts w:ascii="Verdana" w:hAnsi="Verdana"/>
          <w:sz w:val="17"/>
          <w:szCs w:val="17"/>
        </w:rPr>
        <w:t xml:space="preserve">Version </w:t>
      </w:r>
      <w:r w:rsidR="00586BB6">
        <w:rPr>
          <w:rFonts w:ascii="Verdana" w:hAnsi="Verdana"/>
          <w:sz w:val="17"/>
          <w:szCs w:val="17"/>
        </w:rPr>
        <w:t>2</w:t>
      </w:r>
      <w:r w:rsidRPr="00EA0302">
        <w:rPr>
          <w:rFonts w:ascii="Verdana" w:hAnsi="Verdana"/>
          <w:sz w:val="17"/>
          <w:szCs w:val="17"/>
        </w:rPr>
        <w:t>.0</w:t>
      </w:r>
    </w:p>
    <w:p w14:paraId="79A08E84" w14:textId="5011D95B" w:rsidR="00C31515" w:rsidRPr="00EA0302" w:rsidRDefault="004B353C" w:rsidP="00C31515">
      <w:pPr>
        <w:spacing w:line="360" w:lineRule="auto"/>
        <w:rPr>
          <w:rFonts w:ascii="Verdana" w:hAnsi="Verdana"/>
          <w:sz w:val="17"/>
          <w:szCs w:val="17"/>
        </w:rPr>
      </w:pPr>
      <w:r w:rsidRPr="00EA0302">
        <w:rPr>
          <w:rFonts w:ascii="Verdana" w:hAnsi="Verdana"/>
          <w:sz w:val="17"/>
          <w:szCs w:val="17"/>
        </w:rPr>
        <w:t>Publication date:</w:t>
      </w:r>
      <w:r w:rsidRPr="00EA0302">
        <w:rPr>
          <w:rFonts w:ascii="Verdana" w:hAnsi="Verdana"/>
          <w:sz w:val="17"/>
          <w:szCs w:val="17"/>
        </w:rPr>
        <w:tab/>
      </w:r>
      <w:r w:rsidR="00586BB6">
        <w:rPr>
          <w:rFonts w:ascii="Verdana" w:hAnsi="Verdana"/>
          <w:sz w:val="17"/>
          <w:szCs w:val="17"/>
        </w:rPr>
        <w:t xml:space="preserve">May 2, 2022. Updated </w:t>
      </w:r>
      <w:r w:rsidR="00586BB6" w:rsidRPr="004B353C">
        <w:rPr>
          <w:rFonts w:ascii="Verdana" w:hAnsi="Verdana"/>
          <w:sz w:val="17"/>
          <w:szCs w:val="17"/>
          <w:highlight w:val="yellow"/>
        </w:rPr>
        <w:t>[•]</w:t>
      </w:r>
      <w:r w:rsidR="00586BB6" w:rsidRPr="004B353C">
        <w:rPr>
          <w:rFonts w:ascii="Verdana" w:hAnsi="Verdana"/>
          <w:sz w:val="17"/>
          <w:szCs w:val="17"/>
        </w:rPr>
        <w:t xml:space="preserve"> </w:t>
      </w:r>
      <w:r w:rsidR="00586BB6">
        <w:rPr>
          <w:rFonts w:ascii="Verdana" w:hAnsi="Verdana"/>
          <w:sz w:val="17"/>
          <w:szCs w:val="17"/>
        </w:rPr>
        <w:t>2025</w:t>
      </w:r>
    </w:p>
    <w:p w14:paraId="3DB05CF8" w14:textId="0A87B900" w:rsidR="00586BB6" w:rsidRDefault="00586BB6" w:rsidP="00C31515">
      <w:pPr>
        <w:pStyle w:val="Ingenafstand"/>
        <w:spacing w:line="360" w:lineRule="auto"/>
        <w:rPr>
          <w:rFonts w:ascii="Verdana" w:hAnsi="Verdana"/>
          <w:sz w:val="17"/>
          <w:szCs w:val="17"/>
          <w:lang w:val="en-US"/>
        </w:rPr>
      </w:pPr>
      <w:r>
        <w:rPr>
          <w:rFonts w:ascii="Verdana" w:hAnsi="Verdana"/>
          <w:sz w:val="17"/>
          <w:szCs w:val="17"/>
          <w:lang w:val="en-US"/>
        </w:rPr>
        <w:t>Updates:</w:t>
      </w:r>
      <w:r>
        <w:rPr>
          <w:rFonts w:ascii="Verdana" w:hAnsi="Verdana"/>
          <w:sz w:val="17"/>
          <w:szCs w:val="17"/>
          <w:lang w:val="en-US"/>
        </w:rPr>
        <w:tab/>
      </w:r>
      <w:r>
        <w:rPr>
          <w:rFonts w:ascii="Verdana" w:hAnsi="Verdana"/>
          <w:sz w:val="17"/>
          <w:szCs w:val="17"/>
          <w:lang w:val="en-US"/>
        </w:rPr>
        <w:tab/>
      </w:r>
      <w:r w:rsidR="002F3640">
        <w:rPr>
          <w:rFonts w:ascii="Verdana" w:hAnsi="Verdana"/>
          <w:sz w:val="17"/>
          <w:szCs w:val="17"/>
          <w:lang w:val="en-US"/>
        </w:rPr>
        <w:t>The statem</w:t>
      </w:r>
      <w:r w:rsidR="004A6666">
        <w:rPr>
          <w:rFonts w:ascii="Verdana" w:hAnsi="Verdana"/>
          <w:sz w:val="17"/>
          <w:szCs w:val="17"/>
          <w:lang w:val="en-US"/>
        </w:rPr>
        <w:t>ent has been updated with a more specific reference to the legislation.</w:t>
      </w:r>
    </w:p>
    <w:p w14:paraId="79A08E85" w14:textId="3EFAFC5D" w:rsidR="00C31515" w:rsidRDefault="004B353C" w:rsidP="00C31515">
      <w:pPr>
        <w:pStyle w:val="Ingenafstand"/>
        <w:spacing w:line="360" w:lineRule="auto"/>
        <w:rPr>
          <w:rFonts w:ascii="Verdana" w:hAnsi="Verdana"/>
          <w:sz w:val="17"/>
          <w:szCs w:val="17"/>
          <w:lang w:val="en-GB"/>
        </w:rPr>
      </w:pPr>
      <w:r w:rsidRPr="007E5A41">
        <w:rPr>
          <w:rFonts w:ascii="Verdana" w:hAnsi="Verdana"/>
          <w:sz w:val="17"/>
          <w:szCs w:val="17"/>
          <w:lang w:val="en-US"/>
        </w:rPr>
        <w:t>Publication URL:</w:t>
      </w:r>
      <w:r w:rsidRPr="007E5A41">
        <w:rPr>
          <w:rFonts w:ascii="Verdana" w:hAnsi="Verdana"/>
          <w:sz w:val="17"/>
          <w:szCs w:val="17"/>
          <w:lang w:val="en-US"/>
        </w:rPr>
        <w:tab/>
        <w:t>[TBI]</w:t>
      </w:r>
    </w:p>
    <w:p w14:paraId="79A08E86" w14:textId="77777777" w:rsidR="00C31515" w:rsidRDefault="00C31515" w:rsidP="00C31515">
      <w:pPr>
        <w:pStyle w:val="Ingenafstand"/>
        <w:spacing w:line="360" w:lineRule="auto"/>
        <w:rPr>
          <w:rFonts w:ascii="Verdana" w:hAnsi="Verdana"/>
          <w:sz w:val="17"/>
          <w:szCs w:val="17"/>
          <w:lang w:val="en-GB"/>
        </w:rPr>
      </w:pPr>
    </w:p>
    <w:p w14:paraId="6805B3B9" w14:textId="37DA112C" w:rsidR="004B353C" w:rsidRDefault="004B353C" w:rsidP="00C31515">
      <w:pPr>
        <w:pStyle w:val="Ingenafstand"/>
        <w:spacing w:line="360" w:lineRule="auto"/>
        <w:rPr>
          <w:rFonts w:ascii="Verdana" w:hAnsi="Verdana"/>
          <w:sz w:val="17"/>
          <w:szCs w:val="17"/>
          <w:lang w:val="en-US"/>
        </w:rPr>
      </w:pPr>
      <w:r w:rsidRPr="00C31515">
        <w:rPr>
          <w:rFonts w:ascii="Verdana" w:hAnsi="Verdana"/>
          <w:sz w:val="17"/>
          <w:szCs w:val="17"/>
          <w:lang w:val="en-US"/>
        </w:rPr>
        <w:t>Fund Manager:</w:t>
      </w:r>
      <w:r w:rsidR="003814CC">
        <w:rPr>
          <w:rFonts w:ascii="Verdana" w:hAnsi="Verdana"/>
          <w:sz w:val="17"/>
          <w:szCs w:val="17"/>
          <w:lang w:val="en-US"/>
        </w:rPr>
        <w:t xml:space="preserve"> </w:t>
      </w:r>
      <w:r>
        <w:rPr>
          <w:rFonts w:ascii="Verdana" w:hAnsi="Verdana"/>
          <w:sz w:val="17"/>
          <w:szCs w:val="17"/>
          <w:lang w:val="en-US"/>
        </w:rPr>
        <w:t>FundRock Asset Management Denmark A/S</w:t>
      </w:r>
      <w:r w:rsidR="000F4D9D" w:rsidRPr="000F4D9D">
        <w:rPr>
          <w:rFonts w:ascii="Verdana" w:hAnsi="Verdana"/>
          <w:sz w:val="17"/>
          <w:szCs w:val="17"/>
          <w:lang w:val="en-US"/>
        </w:rPr>
        <w:t xml:space="preserve">, CVR-no. </w:t>
      </w:r>
      <w:r w:rsidRPr="004B353C">
        <w:rPr>
          <w:rFonts w:ascii="Verdana" w:hAnsi="Verdana"/>
          <w:sz w:val="17"/>
          <w:szCs w:val="17"/>
          <w:lang w:val="en-US"/>
        </w:rPr>
        <w:t>43723464</w:t>
      </w:r>
    </w:p>
    <w:p w14:paraId="79A08E88" w14:textId="2624ACCB" w:rsidR="00C31515" w:rsidRPr="007E5A41" w:rsidRDefault="004B353C" w:rsidP="00C31515">
      <w:pPr>
        <w:pStyle w:val="Ingenafstand"/>
        <w:spacing w:line="360" w:lineRule="auto"/>
        <w:rPr>
          <w:rFonts w:ascii="Verdana" w:hAnsi="Verdana"/>
          <w:sz w:val="17"/>
          <w:szCs w:val="17"/>
          <w:lang w:val="en-US"/>
        </w:rPr>
      </w:pPr>
      <w:r>
        <w:rPr>
          <w:rFonts w:ascii="Verdana" w:hAnsi="Verdana"/>
          <w:sz w:val="17"/>
          <w:szCs w:val="17"/>
          <w:lang w:val="en-GB"/>
        </w:rPr>
        <w:t xml:space="preserve">Fund: </w:t>
      </w:r>
      <w:proofErr w:type="spellStart"/>
      <w:r w:rsidR="00997DC9">
        <w:rPr>
          <w:rFonts w:ascii="Verdana" w:hAnsi="Verdana"/>
          <w:sz w:val="17"/>
          <w:szCs w:val="17"/>
          <w:lang w:val="en-US"/>
        </w:rPr>
        <w:t>Upfin</w:t>
      </w:r>
      <w:proofErr w:type="spellEnd"/>
      <w:r w:rsidR="000F4D9D" w:rsidRPr="000F4D9D">
        <w:rPr>
          <w:rFonts w:ascii="Verdana" w:hAnsi="Verdana"/>
          <w:sz w:val="17"/>
          <w:szCs w:val="17"/>
          <w:lang w:val="en-US"/>
        </w:rPr>
        <w:t xml:space="preserve"> Fund I K/S, CVR-no. </w:t>
      </w:r>
      <w:r w:rsidR="00FE11C1" w:rsidRPr="00FE11C1">
        <w:rPr>
          <w:rFonts w:ascii="Verdana" w:hAnsi="Verdana"/>
          <w:sz w:val="17"/>
          <w:szCs w:val="17"/>
          <w:lang w:val="en-US"/>
        </w:rPr>
        <w:t>42981680</w:t>
      </w:r>
    </w:p>
    <w:p w14:paraId="79A08E89" w14:textId="77777777" w:rsidR="00C31515" w:rsidRPr="00C31515" w:rsidRDefault="00C31515" w:rsidP="00C31515">
      <w:pPr>
        <w:pStyle w:val="Ingenafstand"/>
        <w:spacing w:line="360" w:lineRule="auto"/>
        <w:rPr>
          <w:rFonts w:ascii="Verdana" w:hAnsi="Verdana"/>
          <w:sz w:val="17"/>
          <w:szCs w:val="17"/>
          <w:lang w:val="en-GB"/>
        </w:rPr>
      </w:pPr>
    </w:p>
    <w:p w14:paraId="316B7636" w14:textId="77777777" w:rsidR="00085CD2" w:rsidRDefault="004B353C" w:rsidP="007E5A41">
      <w:pPr>
        <w:pStyle w:val="Ingenafstand"/>
        <w:spacing w:line="360" w:lineRule="auto"/>
        <w:jc w:val="both"/>
        <w:rPr>
          <w:rFonts w:ascii="Verdana" w:hAnsi="Verdana"/>
          <w:sz w:val="17"/>
          <w:szCs w:val="17"/>
          <w:lang w:val="en-GB"/>
        </w:rPr>
      </w:pPr>
      <w:r w:rsidRPr="007E5A41">
        <w:rPr>
          <w:rFonts w:ascii="Verdana" w:hAnsi="Verdana"/>
          <w:sz w:val="17"/>
          <w:szCs w:val="17"/>
          <w:lang w:val="en-GB"/>
        </w:rPr>
        <w:t xml:space="preserve">While the Fund Manager does consider sustainability risks in its investment decisions, Fund Manager does not consider all of the </w:t>
      </w:r>
      <w:r w:rsidRPr="007E5A41">
        <w:rPr>
          <w:rFonts w:ascii="Verdana" w:hAnsi="Verdana"/>
          <w:sz w:val="17"/>
          <w:szCs w:val="17"/>
          <w:lang w:val="en-GB"/>
        </w:rPr>
        <w:t>specific adverse impact indicators set out in Annex 1 of the Commission’s delegated regulation (EU) 2022/1288 of 6 April 2022 supplementing Regulation (EU) 2019/2088 (</w:t>
      </w:r>
      <w:r w:rsidR="000F4D9D" w:rsidRPr="000F4D9D">
        <w:rPr>
          <w:rFonts w:ascii="Verdana" w:hAnsi="Verdana"/>
          <w:sz w:val="17"/>
          <w:szCs w:val="17"/>
          <w:lang w:val="en-GB"/>
        </w:rPr>
        <w:t>the “</w:t>
      </w:r>
      <w:r w:rsidR="000F4D9D" w:rsidRPr="000F4D9D">
        <w:rPr>
          <w:rFonts w:ascii="Verdana" w:hAnsi="Verdana"/>
          <w:b/>
          <w:bCs/>
          <w:sz w:val="17"/>
          <w:szCs w:val="17"/>
          <w:lang w:val="en-GB"/>
        </w:rPr>
        <w:t>SFDR</w:t>
      </w:r>
      <w:r w:rsidR="000F4D9D" w:rsidRPr="000F4D9D">
        <w:rPr>
          <w:rFonts w:ascii="Verdana" w:hAnsi="Verdana"/>
          <w:sz w:val="17"/>
          <w:szCs w:val="17"/>
          <w:lang w:val="en-GB"/>
        </w:rPr>
        <w:t>”</w:t>
      </w:r>
      <w:r w:rsidRPr="007E5A41">
        <w:rPr>
          <w:rFonts w:ascii="Verdana" w:hAnsi="Verdana"/>
          <w:sz w:val="17"/>
          <w:szCs w:val="17"/>
          <w:lang w:val="en-GB"/>
        </w:rPr>
        <w:t>) in its investment decisions</w:t>
      </w:r>
      <w:r w:rsidR="00085CD2">
        <w:rPr>
          <w:rFonts w:ascii="Verdana" w:hAnsi="Verdana"/>
          <w:sz w:val="17"/>
          <w:szCs w:val="17"/>
          <w:lang w:val="en-GB"/>
        </w:rPr>
        <w:t>.</w:t>
      </w:r>
    </w:p>
    <w:p w14:paraId="3AEF2DD3" w14:textId="77777777" w:rsidR="00085CD2" w:rsidRDefault="00085CD2" w:rsidP="007E5A41">
      <w:pPr>
        <w:pStyle w:val="Ingenafstand"/>
        <w:spacing w:line="360" w:lineRule="auto"/>
        <w:jc w:val="both"/>
        <w:rPr>
          <w:rFonts w:ascii="Verdana" w:hAnsi="Verdana"/>
          <w:sz w:val="17"/>
          <w:szCs w:val="17"/>
          <w:lang w:val="en-GB"/>
        </w:rPr>
      </w:pPr>
    </w:p>
    <w:p w14:paraId="7E6036DF" w14:textId="48271C40" w:rsidR="00085CD2" w:rsidRDefault="00A7147A" w:rsidP="007E5A41">
      <w:pPr>
        <w:pStyle w:val="Ingenafstand"/>
        <w:spacing w:line="360" w:lineRule="auto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The reason for this is that Fund Manager has decided to focus on a few specific sustainability risk indicators fit for each of the Fund’s investment profile rather than consider </w:t>
      </w:r>
      <w:proofErr w:type="gramStart"/>
      <w:r>
        <w:rPr>
          <w:rFonts w:ascii="Verdana" w:hAnsi="Verdana"/>
          <w:sz w:val="17"/>
          <w:szCs w:val="17"/>
          <w:lang w:val="en-GB"/>
        </w:rPr>
        <w:t>all of</w:t>
      </w:r>
      <w:proofErr w:type="gramEnd"/>
      <w:r>
        <w:rPr>
          <w:rFonts w:ascii="Verdana" w:hAnsi="Verdana"/>
          <w:sz w:val="17"/>
          <w:szCs w:val="17"/>
          <w:lang w:val="en-GB"/>
        </w:rPr>
        <w:t xml:space="preserve"> the indicators set out in Table 1-3 of Annex </w:t>
      </w:r>
      <w:r w:rsidR="00713FC3">
        <w:rPr>
          <w:rFonts w:ascii="Verdana" w:hAnsi="Verdana"/>
          <w:sz w:val="17"/>
          <w:szCs w:val="17"/>
          <w:lang w:val="en-GB"/>
        </w:rPr>
        <w:t xml:space="preserve">1. While the Fund Manager does not expect to consider the principal adverse impacts on sustainability factors within near future, Fund Manager will, on a continuous basis, assess whether to consider </w:t>
      </w:r>
      <w:proofErr w:type="gramStart"/>
      <w:r w:rsidR="00960910">
        <w:rPr>
          <w:rFonts w:ascii="Verdana" w:hAnsi="Verdana"/>
          <w:sz w:val="17"/>
          <w:szCs w:val="17"/>
          <w:lang w:val="en-GB"/>
        </w:rPr>
        <w:t>all of</w:t>
      </w:r>
      <w:proofErr w:type="gramEnd"/>
      <w:r w:rsidR="00960910">
        <w:rPr>
          <w:rFonts w:ascii="Verdana" w:hAnsi="Verdana"/>
          <w:sz w:val="17"/>
          <w:szCs w:val="17"/>
          <w:lang w:val="en-GB"/>
        </w:rPr>
        <w:t xml:space="preserve"> the specific adverse impact indicators set out in Table 1-3 of Annex 1 in its investment decisions</w:t>
      </w:r>
      <w:r w:rsidR="00D11D30">
        <w:rPr>
          <w:rFonts w:ascii="Verdana" w:hAnsi="Verdana"/>
          <w:sz w:val="17"/>
          <w:szCs w:val="17"/>
          <w:lang w:val="en-GB"/>
        </w:rPr>
        <w:t>.</w:t>
      </w:r>
    </w:p>
    <w:p w14:paraId="79A08E8D" w14:textId="77777777" w:rsidR="00C31515" w:rsidRPr="00C31515" w:rsidRDefault="00C31515" w:rsidP="00C31515">
      <w:pPr>
        <w:pStyle w:val="Ingenafstand"/>
        <w:spacing w:line="360" w:lineRule="auto"/>
        <w:rPr>
          <w:rFonts w:ascii="Verdana" w:hAnsi="Verdana"/>
          <w:sz w:val="17"/>
          <w:szCs w:val="17"/>
          <w:lang w:val="en-US"/>
        </w:rPr>
      </w:pPr>
    </w:p>
    <w:sectPr w:rsidR="00C31515" w:rsidRPr="00C315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15B6"/>
    <w:multiLevelType w:val="hybridMultilevel"/>
    <w:tmpl w:val="55121A5C"/>
    <w:lvl w:ilvl="0" w:tplc="B39AB24C">
      <w:start w:val="1"/>
      <w:numFmt w:val="decimal"/>
      <w:lvlText w:val="%1."/>
      <w:lvlJc w:val="left"/>
      <w:pPr>
        <w:ind w:left="1120" w:hanging="1020"/>
      </w:pPr>
      <w:rPr>
        <w:rFonts w:hint="default"/>
        <w:spacing w:val="-1"/>
        <w:w w:val="89"/>
        <w:lang w:val="en-US" w:eastAsia="en-US" w:bidi="ar-SA"/>
      </w:rPr>
    </w:lvl>
    <w:lvl w:ilvl="1" w:tplc="A0487D84">
      <w:start w:val="1"/>
      <w:numFmt w:val="lowerRoman"/>
      <w:lvlText w:val="(%2)"/>
      <w:lvlJc w:val="left"/>
      <w:pPr>
        <w:ind w:left="1630" w:hanging="51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6"/>
        <w:sz w:val="17"/>
        <w:szCs w:val="17"/>
        <w:lang w:val="en-US" w:eastAsia="en-US" w:bidi="ar-SA"/>
      </w:rPr>
    </w:lvl>
    <w:lvl w:ilvl="2" w:tplc="C2D60C08">
      <w:start w:val="1"/>
      <w:numFmt w:val="lowerLetter"/>
      <w:lvlText w:val="(%3)"/>
      <w:lvlJc w:val="left"/>
      <w:pPr>
        <w:ind w:left="2140" w:hanging="510"/>
      </w:pPr>
      <w:rPr>
        <w:rFonts w:ascii="Calibri" w:eastAsia="Calibri" w:hAnsi="Calibri" w:cs="Calibri" w:hint="default"/>
        <w:b w:val="0"/>
        <w:bCs w:val="0"/>
        <w:i/>
        <w:iCs/>
        <w:spacing w:val="-2"/>
        <w:w w:val="111"/>
        <w:sz w:val="17"/>
        <w:szCs w:val="17"/>
        <w:lang w:val="en-US" w:eastAsia="en-US" w:bidi="ar-SA"/>
      </w:rPr>
    </w:lvl>
    <w:lvl w:ilvl="3" w:tplc="FAC63880">
      <w:numFmt w:val="bullet"/>
      <w:lvlText w:val="•"/>
      <w:lvlJc w:val="left"/>
      <w:pPr>
        <w:ind w:left="3067" w:hanging="510"/>
      </w:pPr>
      <w:rPr>
        <w:rFonts w:hint="default"/>
        <w:lang w:val="en-US" w:eastAsia="en-US" w:bidi="ar-SA"/>
      </w:rPr>
    </w:lvl>
    <w:lvl w:ilvl="4" w:tplc="FC82A2EA">
      <w:numFmt w:val="bullet"/>
      <w:lvlText w:val="•"/>
      <w:lvlJc w:val="left"/>
      <w:pPr>
        <w:ind w:left="3995" w:hanging="510"/>
      </w:pPr>
      <w:rPr>
        <w:rFonts w:hint="default"/>
        <w:lang w:val="en-US" w:eastAsia="en-US" w:bidi="ar-SA"/>
      </w:rPr>
    </w:lvl>
    <w:lvl w:ilvl="5" w:tplc="55BA3E9A">
      <w:numFmt w:val="bullet"/>
      <w:lvlText w:val="•"/>
      <w:lvlJc w:val="left"/>
      <w:pPr>
        <w:ind w:left="4922" w:hanging="510"/>
      </w:pPr>
      <w:rPr>
        <w:rFonts w:hint="default"/>
        <w:lang w:val="en-US" w:eastAsia="en-US" w:bidi="ar-SA"/>
      </w:rPr>
    </w:lvl>
    <w:lvl w:ilvl="6" w:tplc="16565DC0">
      <w:numFmt w:val="bullet"/>
      <w:lvlText w:val="•"/>
      <w:lvlJc w:val="left"/>
      <w:pPr>
        <w:ind w:left="5850" w:hanging="510"/>
      </w:pPr>
      <w:rPr>
        <w:rFonts w:hint="default"/>
        <w:lang w:val="en-US" w:eastAsia="en-US" w:bidi="ar-SA"/>
      </w:rPr>
    </w:lvl>
    <w:lvl w:ilvl="7" w:tplc="EB244392">
      <w:numFmt w:val="bullet"/>
      <w:lvlText w:val="•"/>
      <w:lvlJc w:val="left"/>
      <w:pPr>
        <w:ind w:left="6777" w:hanging="510"/>
      </w:pPr>
      <w:rPr>
        <w:rFonts w:hint="default"/>
        <w:lang w:val="en-US" w:eastAsia="en-US" w:bidi="ar-SA"/>
      </w:rPr>
    </w:lvl>
    <w:lvl w:ilvl="8" w:tplc="B006464E">
      <w:numFmt w:val="bullet"/>
      <w:lvlText w:val="•"/>
      <w:lvlJc w:val="left"/>
      <w:pPr>
        <w:ind w:left="7705" w:hanging="510"/>
      </w:pPr>
      <w:rPr>
        <w:rFonts w:hint="default"/>
        <w:lang w:val="en-US" w:eastAsia="en-US" w:bidi="ar-SA"/>
      </w:rPr>
    </w:lvl>
  </w:abstractNum>
  <w:num w:numId="1" w16cid:durableId="20437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NotTrackFormatting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15"/>
    <w:rsid w:val="0002537F"/>
    <w:rsid w:val="00085CD2"/>
    <w:rsid w:val="000F4D9D"/>
    <w:rsid w:val="00206B11"/>
    <w:rsid w:val="00216FB3"/>
    <w:rsid w:val="002F3640"/>
    <w:rsid w:val="0030673F"/>
    <w:rsid w:val="003814CC"/>
    <w:rsid w:val="004A6666"/>
    <w:rsid w:val="004B353C"/>
    <w:rsid w:val="005126C9"/>
    <w:rsid w:val="00586BB6"/>
    <w:rsid w:val="00713FC3"/>
    <w:rsid w:val="007E5A41"/>
    <w:rsid w:val="00852D5F"/>
    <w:rsid w:val="00960910"/>
    <w:rsid w:val="00997DC9"/>
    <w:rsid w:val="00A437AF"/>
    <w:rsid w:val="00A66222"/>
    <w:rsid w:val="00A7147A"/>
    <w:rsid w:val="00B10233"/>
    <w:rsid w:val="00C31515"/>
    <w:rsid w:val="00CD00F3"/>
    <w:rsid w:val="00CD26AB"/>
    <w:rsid w:val="00CE0B05"/>
    <w:rsid w:val="00D11D30"/>
    <w:rsid w:val="00D1202B"/>
    <w:rsid w:val="00D72563"/>
    <w:rsid w:val="00D945F8"/>
    <w:rsid w:val="00EA0302"/>
    <w:rsid w:val="00F12DEB"/>
    <w:rsid w:val="00F84B97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8E81"/>
  <w15:chartTrackingRefBased/>
  <w15:docId w15:val="{FA12A6D3-12A3-4399-A0D7-42E1A393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515"/>
    <w:pPr>
      <w:spacing w:after="0" w:line="240" w:lineRule="auto"/>
    </w:pPr>
    <w:rPr>
      <w:rFonts w:eastAsiaTheme="minorEastAsia"/>
      <w:sz w:val="24"/>
      <w:szCs w:val="24"/>
      <w:lang w:val="en-GB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31515"/>
    <w:pPr>
      <w:spacing w:after="0" w:line="240" w:lineRule="auto"/>
    </w:pPr>
  </w:style>
  <w:style w:type="paragraph" w:styleId="Korrektur">
    <w:name w:val="Revision"/>
    <w:hidden/>
    <w:uiPriority w:val="99"/>
    <w:semiHidden/>
    <w:rsid w:val="00C31515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C3151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3151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31515"/>
    <w:rPr>
      <w:rFonts w:eastAsiaTheme="minorEastAsia"/>
      <w:sz w:val="20"/>
      <w:szCs w:val="20"/>
      <w:lang w:val="en-GB"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151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1515"/>
    <w:rPr>
      <w:rFonts w:eastAsiaTheme="minorEastAsia"/>
      <w:b/>
      <w:bCs/>
      <w:sz w:val="20"/>
      <w:szCs w:val="20"/>
      <w:lang w:val="en-GB" w:eastAsia="zh-CN"/>
    </w:rPr>
  </w:style>
  <w:style w:type="paragraph" w:styleId="Brdtekst">
    <w:name w:val="Body Text"/>
    <w:basedOn w:val="Normal"/>
    <w:link w:val="BrdtekstTegn"/>
    <w:uiPriority w:val="1"/>
    <w:qFormat/>
    <w:rsid w:val="005126C9"/>
    <w:pPr>
      <w:widowControl w:val="0"/>
      <w:autoSpaceDE w:val="0"/>
      <w:autoSpaceDN w:val="0"/>
    </w:pPr>
    <w:rPr>
      <w:rFonts w:ascii="Calibri" w:eastAsia="Calibri" w:hAnsi="Calibri" w:cs="Calibri"/>
      <w:i/>
      <w:iCs/>
      <w:sz w:val="17"/>
      <w:szCs w:val="17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5126C9"/>
    <w:rPr>
      <w:rFonts w:ascii="Calibri" w:eastAsia="Calibri" w:hAnsi="Calibri" w:cs="Calibri"/>
      <w:i/>
      <w:iCs/>
      <w:sz w:val="17"/>
      <w:szCs w:val="17"/>
      <w:lang w:val="en-US"/>
    </w:rPr>
  </w:style>
  <w:style w:type="paragraph" w:styleId="Listeafsnit">
    <w:name w:val="List Paragraph"/>
    <w:basedOn w:val="Normal"/>
    <w:uiPriority w:val="1"/>
    <w:qFormat/>
    <w:rsid w:val="005126C9"/>
    <w:pPr>
      <w:widowControl w:val="0"/>
      <w:autoSpaceDE w:val="0"/>
      <w:autoSpaceDN w:val="0"/>
      <w:ind w:left="1630" w:hanging="510"/>
      <w:jc w:val="both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</dc:creator>
  <cp:lastModifiedBy>Lars Louw Pedersen</cp:lastModifiedBy>
  <cp:revision>2</cp:revision>
  <dcterms:created xsi:type="dcterms:W3CDTF">2025-04-08T10:11:00Z</dcterms:created>
  <dcterms:modified xsi:type="dcterms:W3CDTF">2025-04-08T10:11:00Z</dcterms:modified>
</cp:coreProperties>
</file>