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337B291" w:rsidR="00580FE5" w:rsidRPr="00580FE5" w:rsidRDefault="00254FAA"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Flagship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337B291" w:rsidR="00580FE5" w:rsidRPr="00580FE5" w:rsidRDefault="00254FAA"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Flagship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653CAB0F" w:rsidR="00EA7829" w:rsidRPr="001665FD" w:rsidRDefault="00254FAA"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23 April</w:t>
                            </w:r>
                            <w:r w:rsidR="00E36646">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653CAB0F" w:rsidR="00EA7829" w:rsidRPr="001665FD" w:rsidRDefault="00254FAA"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23 April</w:t>
                      </w:r>
                      <w:r w:rsidR="00E36646">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7C51216D" w:rsidR="00580FE5" w:rsidRPr="00580FE5" w:rsidRDefault="005655AE" w:rsidP="00580FE5">
      <w:pPr>
        <w:spacing w:line="312" w:lineRule="auto"/>
        <w:rPr>
          <w:bCs/>
          <w:color w:val="575756" w:themeColor="accent1"/>
          <w:sz w:val="21"/>
          <w:szCs w:val="21"/>
        </w:rPr>
      </w:pPr>
      <w:r>
        <w:rPr>
          <w:rFonts w:cs="Calibri"/>
          <w:b/>
          <w:color w:val="575756" w:themeColor="accent1"/>
          <w:sz w:val="21"/>
          <w:szCs w:val="21"/>
        </w:rPr>
        <w:t>Flagship G</w:t>
      </w:r>
      <w:r w:rsidR="00EB748F">
        <w:rPr>
          <w:rFonts w:cs="Calibri"/>
          <w:b/>
          <w:color w:val="575756" w:themeColor="accent1"/>
          <w:sz w:val="21"/>
          <w:szCs w:val="21"/>
        </w:rPr>
        <w:t xml:space="preserve">lobal </w:t>
      </w:r>
      <w:r>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89014FE"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DE6E47">
        <w:rPr>
          <w:rFonts w:cs="Calibri"/>
          <w:bCs/>
          <w:color w:val="575756" w:themeColor="accent1"/>
          <w:sz w:val="21"/>
          <w:szCs w:val="21"/>
        </w:rPr>
        <w:t>66856</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56252EDB"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t>70</w:t>
      </w:r>
      <w:r w:rsidR="0060538B">
        <w:rPr>
          <w:rFonts w:cs="Arial"/>
          <w:color w:val="575756" w:themeColor="accent1"/>
          <w:szCs w:val="20"/>
          <w14:ligatures w14:val="standard"/>
        </w:rPr>
        <w:t>276844</w:t>
      </w:r>
    </w:p>
    <w:p w14:paraId="44B1870B" w14:textId="5C70DB40"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8862AA">
        <w:rPr>
          <w:rFonts w:cs="Arial"/>
          <w:color w:val="575756" w:themeColor="accent1"/>
          <w:szCs w:val="20"/>
          <w14:ligatures w14:val="standard"/>
        </w:rPr>
        <w:t>71</w:t>
      </w:r>
      <w:r>
        <w:rPr>
          <w:rFonts w:cs="Arial"/>
          <w:color w:val="575756" w:themeColor="accent1"/>
          <w:szCs w:val="20"/>
          <w14:ligatures w14:val="standard"/>
        </w:rPr>
        <w:t>BNTB60839870</w:t>
      </w:r>
      <w:r w:rsidR="00341ADB">
        <w:rPr>
          <w:rFonts w:cs="Arial"/>
          <w:color w:val="575756" w:themeColor="accent1"/>
          <w:szCs w:val="20"/>
          <w14:ligatures w14:val="standard"/>
        </w:rPr>
        <w:t>276844</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FB16" w14:textId="77777777" w:rsidR="009300E6" w:rsidRDefault="009300E6" w:rsidP="006103C5">
      <w:r>
        <w:separator/>
      </w:r>
    </w:p>
  </w:endnote>
  <w:endnote w:type="continuationSeparator" w:id="0">
    <w:p w14:paraId="78E537AE" w14:textId="77777777" w:rsidR="009300E6" w:rsidRDefault="009300E6" w:rsidP="006103C5">
      <w:r>
        <w:continuationSeparator/>
      </w:r>
    </w:p>
  </w:endnote>
  <w:endnote w:type="continuationNotice" w:id="1">
    <w:p w14:paraId="727A786C" w14:textId="77777777" w:rsidR="009300E6" w:rsidRDefault="00930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CB5E" w14:textId="77777777" w:rsidR="009300E6" w:rsidRDefault="009300E6" w:rsidP="006103C5">
      <w:r>
        <w:separator/>
      </w:r>
    </w:p>
  </w:footnote>
  <w:footnote w:type="continuationSeparator" w:id="0">
    <w:p w14:paraId="71B280AA" w14:textId="77777777" w:rsidR="009300E6" w:rsidRDefault="009300E6" w:rsidP="006103C5">
      <w:r>
        <w:continuationSeparator/>
      </w:r>
    </w:p>
  </w:footnote>
  <w:footnote w:type="continuationNotice" w:id="1">
    <w:p w14:paraId="3A8ED249" w14:textId="77777777" w:rsidR="009300E6" w:rsidRDefault="00930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80921"/>
    <w:rsid w:val="000C1E06"/>
    <w:rsid w:val="00145527"/>
    <w:rsid w:val="00164573"/>
    <w:rsid w:val="00187C08"/>
    <w:rsid w:val="001C33D1"/>
    <w:rsid w:val="001F120C"/>
    <w:rsid w:val="00207B1E"/>
    <w:rsid w:val="002236B1"/>
    <w:rsid w:val="00252C6E"/>
    <w:rsid w:val="00254FAA"/>
    <w:rsid w:val="002840DB"/>
    <w:rsid w:val="00286051"/>
    <w:rsid w:val="002A73DA"/>
    <w:rsid w:val="002D78E0"/>
    <w:rsid w:val="00331469"/>
    <w:rsid w:val="00341ADB"/>
    <w:rsid w:val="003758C1"/>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25426"/>
    <w:rsid w:val="00561079"/>
    <w:rsid w:val="005655AE"/>
    <w:rsid w:val="00580FE5"/>
    <w:rsid w:val="005B5B1E"/>
    <w:rsid w:val="005C5DC9"/>
    <w:rsid w:val="005F4CB1"/>
    <w:rsid w:val="0060538B"/>
    <w:rsid w:val="00607ABC"/>
    <w:rsid w:val="006103C5"/>
    <w:rsid w:val="00644217"/>
    <w:rsid w:val="0065143A"/>
    <w:rsid w:val="006530A8"/>
    <w:rsid w:val="00690D6C"/>
    <w:rsid w:val="006B30BA"/>
    <w:rsid w:val="006C7B40"/>
    <w:rsid w:val="006E5462"/>
    <w:rsid w:val="006E6DA1"/>
    <w:rsid w:val="00720A11"/>
    <w:rsid w:val="00736A64"/>
    <w:rsid w:val="00737383"/>
    <w:rsid w:val="00756A21"/>
    <w:rsid w:val="00772DC2"/>
    <w:rsid w:val="00773CF3"/>
    <w:rsid w:val="007747B1"/>
    <w:rsid w:val="0079445E"/>
    <w:rsid w:val="00850A2F"/>
    <w:rsid w:val="00876FBE"/>
    <w:rsid w:val="008862AA"/>
    <w:rsid w:val="008A2B2F"/>
    <w:rsid w:val="008C3105"/>
    <w:rsid w:val="008F3759"/>
    <w:rsid w:val="00901A97"/>
    <w:rsid w:val="009300E6"/>
    <w:rsid w:val="00934BE4"/>
    <w:rsid w:val="00936680"/>
    <w:rsid w:val="00943A29"/>
    <w:rsid w:val="00970E05"/>
    <w:rsid w:val="009B26E2"/>
    <w:rsid w:val="009B5A89"/>
    <w:rsid w:val="009B68F6"/>
    <w:rsid w:val="009C1800"/>
    <w:rsid w:val="009F05D7"/>
    <w:rsid w:val="00A01481"/>
    <w:rsid w:val="00A27954"/>
    <w:rsid w:val="00A742EB"/>
    <w:rsid w:val="00A86FE1"/>
    <w:rsid w:val="00AA0AC1"/>
    <w:rsid w:val="00AF3B6A"/>
    <w:rsid w:val="00B2540B"/>
    <w:rsid w:val="00B6056A"/>
    <w:rsid w:val="00B87B9E"/>
    <w:rsid w:val="00B9778C"/>
    <w:rsid w:val="00BC1AC8"/>
    <w:rsid w:val="00BD66B9"/>
    <w:rsid w:val="00BE07A1"/>
    <w:rsid w:val="00C04E5C"/>
    <w:rsid w:val="00C24CD6"/>
    <w:rsid w:val="00C536A5"/>
    <w:rsid w:val="00CA4457"/>
    <w:rsid w:val="00CF518D"/>
    <w:rsid w:val="00D0223A"/>
    <w:rsid w:val="00D46CE9"/>
    <w:rsid w:val="00D54538"/>
    <w:rsid w:val="00D811F4"/>
    <w:rsid w:val="00DA3757"/>
    <w:rsid w:val="00DE6E47"/>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A6561"/>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5C1A6-1B9D-4689-BC43-8B899047A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6756</Words>
  <Characters>38511</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9</cp:revision>
  <dcterms:created xsi:type="dcterms:W3CDTF">2025-05-12T09:28:00Z</dcterms:created>
  <dcterms:modified xsi:type="dcterms:W3CDTF">2025-05-12T09:47:00Z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